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5" w:rsidRPr="003C7445" w:rsidRDefault="003C7445" w:rsidP="003C7445">
      <w:pPr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C744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868805" cy="28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445"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                    </w:t>
      </w:r>
    </w:p>
    <w:p w:rsidR="003C7445" w:rsidRPr="003C7445" w:rsidRDefault="003C7445" w:rsidP="003C7445">
      <w:pPr>
        <w:spacing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№</w:t>
      </w:r>
      <w:r w:rsidR="006259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7445" w:rsidRPr="00BB14C9" w:rsidRDefault="003C7445" w:rsidP="003C74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информационно-технологическом взаимодействии по операциям перевода денежных средств физических лиц</w:t>
      </w:r>
    </w:p>
    <w:p w:rsidR="003C7445" w:rsidRPr="003C7445" w:rsidRDefault="003C7445" w:rsidP="003C744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/>
      </w:tblPr>
      <w:tblGrid>
        <w:gridCol w:w="4431"/>
        <w:gridCol w:w="5175"/>
      </w:tblGrid>
      <w:tr w:rsidR="003C7445" w:rsidRPr="003C7445" w:rsidTr="00077B58"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3C7445" w:rsidRPr="00897240" w:rsidRDefault="003C7445" w:rsidP="003C7445">
            <w:pPr>
              <w:autoSpaceDE w:val="0"/>
              <w:autoSpaceDN w:val="0"/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8972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C7445" w:rsidRPr="003C7445" w:rsidRDefault="003C7445" w:rsidP="003C7445">
            <w:pPr>
              <w:autoSpaceDE w:val="0"/>
              <w:autoSpaceDN w:val="0"/>
              <w:spacing w:after="2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“___” _________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«Сбербанк России», сокращенное наименование ПАО Сбербанк (Генеральная лицензия на осуществление банковских операций № 1481 выдана 11.08.2015 Банком России), именуемое в дальнейшем “Банк”, в  лице действующего начальника отдела Головного отделения по Хабаровскому краю Дальневосточного банка ПАО Сбербанк </w:t>
      </w:r>
      <w:proofErr w:type="spellStart"/>
      <w:r w:rsidRPr="00D13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Макашина</w:t>
      </w:r>
      <w:proofErr w:type="spellEnd"/>
      <w:r w:rsidRPr="00D1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Сергеевича, действующего на основании Устава ПАО Сбербанк, Положения о филиале и доверенности  № ДВБ/1113-Д от 31.07.2017 г., с одной стороны</w:t>
      </w:r>
      <w:proofErr w:type="gramEnd"/>
      <w:r w:rsidRPr="00D1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240" w:rsidRPr="00897240">
        <w:rPr>
          <w:rFonts w:ascii="Times New Roman" w:hAnsi="Times New Roman" w:cs="Times New Roman"/>
          <w:b/>
          <w:color w:val="000000"/>
          <w:sz w:val="24"/>
          <w:szCs w:val="24"/>
        </w:rPr>
        <w:t>Жилищно-строительный кооператив "Ла-Манш"</w:t>
      </w:r>
      <w:r w:rsidR="00781B0C" w:rsidRPr="00BB1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81B0C" w:rsidRPr="0078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1B0C"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 "Ла-Манш"</w:t>
      </w:r>
      <w:r w:rsidR="00781B0C"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“Клиент”, в лице </w:t>
      </w:r>
      <w:r w:rsidR="00BB1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897240">
        <w:rPr>
          <w:color w:val="000000"/>
          <w:sz w:val="19"/>
          <w:szCs w:val="19"/>
        </w:rPr>
        <w:t xml:space="preserve"> </w:t>
      </w:r>
      <w:r w:rsidR="00897240" w:rsidRPr="0089724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BB14C9" w:rsidRPr="00BB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Пилипчук</w:t>
      </w:r>
      <w:r w:rsidR="002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1B0C"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250F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81B0C"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именуемые совместно в дальнейшем “Стороны”, заключили настоящее Соглашение (далее - Соглашение) о нижеследующем.</w:t>
      </w:r>
      <w:proofErr w:type="gramEnd"/>
    </w:p>
    <w:p w:rsidR="003C7445" w:rsidRPr="003C7445" w:rsidRDefault="003C7445" w:rsidP="003C7445">
      <w:pPr>
        <w:autoSpaceDE w:val="0"/>
        <w:autoSpaceDN w:val="0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СПИСОК ТЕРМИНОВ И ОПРЕДЕЛЕНИЙ</w:t>
      </w:r>
    </w:p>
    <w:p w:rsidR="003C7445" w:rsidRPr="003C7445" w:rsidRDefault="003C7445" w:rsidP="003C7445">
      <w:pPr>
        <w:tabs>
          <w:tab w:val="left" w:pos="567"/>
          <w:tab w:val="left" w:pos="1134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Автоплатеж</w:t>
      </w:r>
      <w:proofErr w:type="spellEnd"/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автоматическое исполнение Банком распоряжения Плательщика о Переводах Клиенту денежных средств со счета банковской карты, эмитированной Банком, в определенную дату или период в сумме, указанной Плательщиком.</w:t>
      </w:r>
    </w:p>
    <w:p w:rsidR="003C7445" w:rsidRPr="003C7445" w:rsidRDefault="003C7445" w:rsidP="003C7445">
      <w:pPr>
        <w:tabs>
          <w:tab w:val="left" w:pos="567"/>
          <w:tab w:val="left" w:pos="1276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«Банк»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Публичное акционерное общество «Сбербанк России», его филиалы и структурные подразделения.</w:t>
      </w:r>
    </w:p>
    <w:p w:rsidR="003C7445" w:rsidRPr="003C7445" w:rsidRDefault="003C7445" w:rsidP="003C7445">
      <w:pPr>
        <w:tabs>
          <w:tab w:val="left" w:pos="567"/>
        </w:tabs>
        <w:overflowPunct w:val="0"/>
        <w:spacing w:before="240" w:after="24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«Выходные дни»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дни отдыха, установленные законодательством для пятидневной рабочей недели (суббота, воскресение), а также нерабочие праздничные дни.</w:t>
      </w:r>
    </w:p>
    <w:p w:rsidR="003C7445" w:rsidRPr="003C7445" w:rsidRDefault="003C7445" w:rsidP="003C7445">
      <w:pPr>
        <w:autoSpaceDE w:val="0"/>
        <w:autoSpaceDN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«Двумерный штрих-код»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(ДШК) – графическая информация, наносимая на поверхность квитанций/платежных документов в горизонтальном и вертикальном направлениях, представляющая возможность считывания её специальными техническими средствами. </w:t>
      </w:r>
    </w:p>
    <w:p w:rsidR="003C7445" w:rsidRPr="003C7445" w:rsidRDefault="003C7445" w:rsidP="003C7445">
      <w:pPr>
        <w:tabs>
          <w:tab w:val="left" w:pos="993"/>
          <w:tab w:val="left" w:pos="1134"/>
        </w:tabs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«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денежных средств» (Перевод)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 Банка в рамках применяемых форм безналичных расчетов по перечислению на счет Клиента денежных сре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ательщика.</w:t>
      </w:r>
    </w:p>
    <w:p w:rsidR="003C7445" w:rsidRPr="003C7445" w:rsidRDefault="003C7445" w:rsidP="003C7445">
      <w:pPr>
        <w:tabs>
          <w:tab w:val="left" w:pos="993"/>
          <w:tab w:val="left" w:pos="1134"/>
        </w:tabs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45" w:rsidRPr="003C7445" w:rsidRDefault="003C7445" w:rsidP="003C7445">
      <w:pPr>
        <w:tabs>
          <w:tab w:val="left" w:pos="851"/>
        </w:tabs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Плательщик»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физическое лицо, предоставившее Банку распоряжение осуществить Перевод денежных сре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 Клиента.</w:t>
      </w:r>
    </w:p>
    <w:p w:rsidR="003C7445" w:rsidRPr="003C7445" w:rsidRDefault="003C7445" w:rsidP="003C7445">
      <w:pPr>
        <w:tabs>
          <w:tab w:val="left" w:pos="993"/>
          <w:tab w:val="left" w:pos="1134"/>
        </w:tabs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«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Переводов»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электронный документ в виде текстового файла согласованного формата, составляемый Банком на основании распоряжений Плательщиков о Переводе денежных сре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 Клиента, принятых Банком к исполнению, в отчетном периоде.</w:t>
      </w:r>
    </w:p>
    <w:p w:rsidR="003C7445" w:rsidRPr="003C7445" w:rsidRDefault="003C7445" w:rsidP="003C7445">
      <w:pPr>
        <w:tabs>
          <w:tab w:val="left" w:pos="993"/>
          <w:tab w:val="left" w:pos="1134"/>
        </w:tabs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«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начислений»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электронный документ, формируемый Клиентом для идентификации Перевода, содержащий сведения, необходимые для совершения Перевода денежных сре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ательщиков в адрес Клиента в порядке, предусмотренном Соглашением, в том числе - сведения о Плательщике и размере Перевода.</w:t>
      </w:r>
    </w:p>
    <w:p w:rsidR="003C7445" w:rsidRPr="003C7445" w:rsidRDefault="003C7445" w:rsidP="003C7445">
      <w:pPr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Сбербанк Бизнес Онлайн» — 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дистанционного банковского обслуживания, предоставляющая возможность Клиенту посредством стандартного интернет-браузера подготавливать и отправлять платежные документы, получать информацию о движении денежных средств по счетам, взаимодействовать с Банком путем обмена сообщениями сводного формата, а также направлять заявки на рассмотрение Банком возможности предоставления Клиенту тех или иных услуг и банковских продуктов.</w:t>
      </w:r>
      <w:proofErr w:type="gramEnd"/>
    </w:p>
    <w:p w:rsidR="003C7445" w:rsidRPr="003C7445" w:rsidRDefault="003C7445" w:rsidP="003C7445">
      <w:pPr>
        <w:tabs>
          <w:tab w:val="left" w:pos="993"/>
          <w:tab w:val="left" w:pos="1134"/>
        </w:tabs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proofErr w:type="gramStart"/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«Технический сбой»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отключение/повреждение электропитания и сетей связи, сбой доступа к Интернету и баз данных Сторон, прочие технические сбои), а также в иных ситуациях, находящихся вне сферы контроля Сторон, повлекших за собой невыполнение Сторонами условий Соглашения.</w:t>
      </w:r>
      <w:proofErr w:type="gramEnd"/>
    </w:p>
    <w:p w:rsidR="003C7445" w:rsidRPr="003C7445" w:rsidRDefault="003C7445" w:rsidP="003C7445">
      <w:pPr>
        <w:tabs>
          <w:tab w:val="left" w:pos="709"/>
          <w:tab w:val="left" w:pos="993"/>
        </w:tabs>
        <w:autoSpaceDE w:val="0"/>
        <w:autoSpaceDN w:val="0"/>
        <w:spacing w:before="12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СОГЛАШЕНИЯ</w:t>
      </w:r>
    </w:p>
    <w:p w:rsidR="003C7445" w:rsidRPr="003C7445" w:rsidRDefault="003C7445" w:rsidP="003C7445">
      <w:pPr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В соответствии условиями Соглашения Стороны обеспечивают между собой информационно-технологическое взаимодействие: </w:t>
      </w:r>
    </w:p>
    <w:p w:rsidR="003C7445" w:rsidRPr="003C7445" w:rsidRDefault="003C7445" w:rsidP="003C7445">
      <w:pPr>
        <w:autoSpaceDE w:val="0"/>
        <w:autoSpaceDN w:val="0"/>
        <w:spacing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использовании Банком </w:t>
      </w:r>
      <w:r w:rsidRPr="003C7445">
        <w:rPr>
          <w:rFonts w:ascii="Times New Roman" w:eastAsia="Times New Roman" w:hAnsi="Times New Roman" w:cs="Times New Roman"/>
          <w:sz w:val="24"/>
          <w:szCs w:val="24"/>
        </w:rPr>
        <w:t xml:space="preserve">информации полученной от Клиента в соответствии с пунктом </w:t>
      </w: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3.1.3. </w:t>
      </w:r>
      <w:r w:rsidRPr="003C7445">
        <w:rPr>
          <w:rFonts w:ascii="Times New Roman" w:eastAsia="Times New Roman" w:hAnsi="Times New Roman" w:cs="Times New Roman"/>
          <w:sz w:val="24"/>
          <w:szCs w:val="24"/>
        </w:rPr>
        <w:t>настоящего Соглашения для оформления Плательщиком Переводов на счет Клиента указанном в разделе 9, в т.ч. с использованием услуги «</w:t>
      </w:r>
      <w:proofErr w:type="spellStart"/>
      <w:r w:rsidRPr="003C7445">
        <w:rPr>
          <w:rFonts w:ascii="Times New Roman" w:eastAsia="Times New Roman" w:hAnsi="Times New Roman" w:cs="Times New Roman"/>
          <w:sz w:val="24"/>
          <w:szCs w:val="24"/>
        </w:rPr>
        <w:t>Автоплатеж</w:t>
      </w:r>
      <w:proofErr w:type="spellEnd"/>
      <w:r w:rsidRPr="003C7445">
        <w:rPr>
          <w:rFonts w:ascii="Times New Roman" w:eastAsia="Times New Roman" w:hAnsi="Times New Roman" w:cs="Times New Roman"/>
          <w:sz w:val="24"/>
          <w:szCs w:val="24"/>
        </w:rPr>
        <w:t>» и ДШК; - при обработке и передаче Банком информации Клиенту, о Переводах денежных средств Плательщиков в валюте Российской Федерации в пользу Клиента в соответствии с пунктом 3.1.2. настоящего Соглашения.</w:t>
      </w:r>
    </w:p>
    <w:p w:rsidR="003C7445" w:rsidRPr="003C7445" w:rsidRDefault="003C7445" w:rsidP="003C7445">
      <w:pPr>
        <w:autoSpaceDE w:val="0"/>
        <w:autoSpaceDN w:val="0"/>
        <w:spacing w:after="240"/>
        <w:ind w:right="-3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3C7445" w:rsidRPr="003C7445" w:rsidRDefault="003C7445" w:rsidP="003C74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Банк обязуется:</w:t>
      </w:r>
    </w:p>
    <w:p w:rsidR="003C7445" w:rsidRPr="003C7445" w:rsidRDefault="003C7445" w:rsidP="003C7445">
      <w:pPr>
        <w:tabs>
          <w:tab w:val="num" w:pos="709"/>
        </w:tabs>
        <w:autoSpaceDE w:val="0"/>
        <w:autoSpaceDN w:val="0"/>
        <w:spacing w:after="24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Организовать работу по передаче Реестра переводов Клиенту, в срок не позднее 15 (пятнадцати) рабочих дней с момента подписания обеими Сторонами настоящего Соглашения. </w:t>
      </w:r>
    </w:p>
    <w:p w:rsidR="003C7445" w:rsidRPr="003C7445" w:rsidRDefault="003C7445" w:rsidP="003C7445">
      <w:pPr>
        <w:tabs>
          <w:tab w:val="num" w:pos="0"/>
          <w:tab w:val="left" w:pos="567"/>
          <w:tab w:val="left" w:pos="1276"/>
        </w:tabs>
        <w:spacing w:before="240" w:after="240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4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3C7445">
        <w:rPr>
          <w:rFonts w:ascii="Times New Roman" w:eastAsia="Times New Roman" w:hAnsi="Times New Roman" w:cs="Times New Roman"/>
          <w:sz w:val="24"/>
          <w:szCs w:val="24"/>
        </w:rPr>
        <w:tab/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рабочего дня, следующего за днем Перевода </w:t>
      </w:r>
      <w:r w:rsidRPr="003C7445">
        <w:rPr>
          <w:rFonts w:ascii="Times New Roman" w:eastAsia="Times New Roman" w:hAnsi="Times New Roman" w:cs="Times New Roman"/>
          <w:sz w:val="24"/>
          <w:szCs w:val="24"/>
        </w:rPr>
        <w:t xml:space="preserve"> передавать Реестры переводов (Приложение №1), по автоматизированной системе «Сбербанк Бизнес Онлайн» без последующего подтверждения на бумажном носителе. </w:t>
      </w:r>
    </w:p>
    <w:p w:rsidR="003C7445" w:rsidRPr="003C7445" w:rsidRDefault="003C7445" w:rsidP="003C7445">
      <w:pPr>
        <w:tabs>
          <w:tab w:val="num" w:pos="0"/>
          <w:tab w:val="left" w:pos="567"/>
          <w:tab w:val="left" w:pos="1276"/>
        </w:tabs>
        <w:spacing w:before="240" w:after="240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45">
        <w:rPr>
          <w:rFonts w:ascii="Times New Roman" w:eastAsia="Times New Roman" w:hAnsi="Times New Roman" w:cs="Times New Roman"/>
          <w:sz w:val="24"/>
          <w:szCs w:val="24"/>
        </w:rPr>
        <w:t>Предоставление Банком Реестров переводов за отчетные дни, являющиеся выходными или нерабочими праздничными днями, осуществляется в первый рабочий день, следующий за выходным или нерабочим праздничным днем.</w:t>
      </w:r>
    </w:p>
    <w:p w:rsidR="003C7445" w:rsidRPr="003C7445" w:rsidRDefault="003C7445" w:rsidP="003C7445">
      <w:pPr>
        <w:tabs>
          <w:tab w:val="num" w:pos="0"/>
          <w:tab w:val="left" w:pos="567"/>
          <w:tab w:val="left" w:pos="1276"/>
        </w:tabs>
        <w:spacing w:before="120" w:after="240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445" w:rsidRPr="003C7445" w:rsidRDefault="003C7445" w:rsidP="003C7445">
      <w:pPr>
        <w:overflowPunct w:val="0"/>
        <w:spacing w:after="24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Принимать от Клиента Реестры начислений, по автоматизированной системе «Сбербанк Бизнес Онлайн», содержащие информацию о требованиях, выставленных Клиентом к Плательщикам, для осуществления Плательщиками Переводов Клиенту, в т.ч. с использованием услуги «</w:t>
      </w:r>
      <w:proofErr w:type="spell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Автоплатеж</w:t>
      </w:r>
      <w:proofErr w:type="spell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ДШК в структуре и формате, согласованном с Банком и, приведенном в Приложении №2 настоящего Соглашения. </w:t>
      </w:r>
    </w:p>
    <w:p w:rsidR="003C7445" w:rsidRPr="003C7445" w:rsidRDefault="003C7445" w:rsidP="003C7445">
      <w:pPr>
        <w:tabs>
          <w:tab w:val="left" w:pos="900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сохранность архивов переданных файлов в течение 5 (пяти) лет с даты, формирования файла. </w:t>
      </w:r>
    </w:p>
    <w:p w:rsidR="003C7445" w:rsidRPr="003C7445" w:rsidRDefault="003C7445" w:rsidP="003C7445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Банк имеет право:</w:t>
      </w:r>
    </w:p>
    <w:p w:rsidR="003C7445" w:rsidRPr="003C7445" w:rsidRDefault="003C7445" w:rsidP="003C7445">
      <w:pPr>
        <w:tabs>
          <w:tab w:val="left" w:pos="900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Запрашивать от Клиента достоверные сведения о Клиенте, представителях, </w:t>
      </w:r>
      <w:proofErr w:type="spell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выгодоприобретателях</w:t>
      </w:r>
      <w:proofErr w:type="spell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Клиента, а также любые документы, необходимые для выполнения Банком функций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терроризма». 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Приостановить действие Соглашения в случае не предоставления Клиентом сведений и документов, в рамках п. 3.2.1. настоящего Договора.</w:t>
      </w:r>
    </w:p>
    <w:p w:rsidR="003C7445" w:rsidRPr="003C7445" w:rsidRDefault="003C7445" w:rsidP="003C7445">
      <w:pPr>
        <w:tabs>
          <w:tab w:val="num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Клиент обязуется:</w:t>
      </w:r>
    </w:p>
    <w:p w:rsidR="003C7445" w:rsidRPr="003C7445" w:rsidRDefault="003C7445" w:rsidP="003C7445">
      <w:pPr>
        <w:tabs>
          <w:tab w:val="num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Ежедневно, по рабочим дням, осуществлять сверку информации о принятых Банком Переводах Плательщиков, содержащуюся в направляемых Банком Реестрах переводов с суммами, поступившими от Банка на счет Клиента.</w:t>
      </w:r>
    </w:p>
    <w:p w:rsidR="003C7445" w:rsidRPr="003C7445" w:rsidRDefault="003C7445" w:rsidP="003C7445">
      <w:pPr>
        <w:tabs>
          <w:tab w:val="num" w:pos="709"/>
        </w:tabs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Информировать Банк о выявленных несоответствиях в суммах не позднее рабочего дня, следующего за днем получения Реестра переводов.</w:t>
      </w:r>
    </w:p>
    <w:p w:rsidR="003C7445" w:rsidRPr="003C7445" w:rsidRDefault="003C7445" w:rsidP="003C7445">
      <w:pPr>
        <w:tabs>
          <w:tab w:val="num" w:pos="709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Возвращать денежные средства, излишне или ошибочно зачисленные Банком на счет Клиента, не позднее 3 (трех) рабочих дней со дня получения письменного уведомления Банка. </w:t>
      </w:r>
    </w:p>
    <w:p w:rsidR="003C7445" w:rsidRPr="003C7445" w:rsidRDefault="003C7445" w:rsidP="003C7445">
      <w:pPr>
        <w:tabs>
          <w:tab w:val="num" w:pos="709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ошибочно зачисленных денежных средств осуществляется отдельными платежными поручениями с обязательным указанием в поле Назначение платежа полной информации о платеже из Реестра переводов, переданного Банком Клиенту.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Самостоятельно рассматривать претензии Плательщиков по завершенным Банком Переводам, связанные с техническим сбоем у Клиента, неверными или недостаточными реквизитами, указанными в Распоряжении о переводе, и в случае правомерности требований Плательщиков, осуществлять им возврат денежных сре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 и размере, предусмотренном договорами между Клиентом и Плательщиками.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</w:t>
      </w:r>
      <w:r w:rsidRPr="003C7445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 xml:space="preserve"> 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Формировать и направлять </w:t>
      </w:r>
      <w:r w:rsidR="00626437" w:rsidRPr="00626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ежемесячно </w:t>
      </w:r>
      <w:r w:rsidR="0089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5 по 10 число </w:t>
      </w: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Банк в электронном виде Реестры начислений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автоматизированной системе «Сбербанк Бизнес Онлайн» в структуре и формате, согласованном с Банком и, приведенном в Приложении №2 настоящего Соглашения, не позднее дня выставления Плательщику платежного документа. 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согласия от Плательщиков, на передачу их персональных данных Банку и уведомить Плательщиков об обработке Банком их персональных данных. При этом Банк не проверяет исполнение выше указанного обязательства Клиента.</w:t>
      </w:r>
    </w:p>
    <w:p w:rsidR="003C7445" w:rsidRPr="003C7445" w:rsidRDefault="003C7445" w:rsidP="003C7445">
      <w:pPr>
        <w:spacing w:after="24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Размещать на платежных документах ДШК в соответствии форматом, представленным в Приложении №3 к Соглашению.</w:t>
      </w:r>
    </w:p>
    <w:p w:rsidR="003C7445" w:rsidRPr="003C7445" w:rsidRDefault="003C7445" w:rsidP="003C7445">
      <w:pPr>
        <w:spacing w:after="24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реквизитов, полей и/или структуры ДШК, в срок не позднее, чем за 15 (пятнадцать) рабочих дней до вступления в силу новых обстоятельств направлять Банку на согласование проект квитанции 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двумерным штрих-кодом.</w:t>
      </w:r>
    </w:p>
    <w:p w:rsidR="003C7445" w:rsidRPr="003C7445" w:rsidRDefault="003C7445" w:rsidP="003C7445">
      <w:pPr>
        <w:spacing w:after="24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Сообщать Банку об изменении своих банковских реквизитов 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8.4. Соглашения.</w:t>
      </w:r>
      <w:r w:rsidRPr="003C74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C7445" w:rsidRPr="003C7445" w:rsidRDefault="003C7445" w:rsidP="003C7445">
      <w:pPr>
        <w:spacing w:after="24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3.3.7. Уведомлять Банк о планируемых в любых средствах массовой информации рекламных мероприятиях, затрагивающих исполнение Сторонами обязательств по настоящему Соглашению.</w:t>
      </w:r>
    </w:p>
    <w:p w:rsidR="003C7445" w:rsidRPr="003C7445" w:rsidRDefault="003C7445" w:rsidP="003C7445">
      <w:pPr>
        <w:spacing w:after="24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Предоставлять в Банк, не позднее семи рабочих дней 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запроса Банка, сведения и документы, </w:t>
      </w:r>
      <w:r w:rsidRPr="003C744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п. 3.2.1. настоящего Соглашения.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445" w:rsidRPr="003C7445" w:rsidRDefault="003C7445" w:rsidP="003C7445">
      <w:pPr>
        <w:tabs>
          <w:tab w:val="num" w:pos="709"/>
        </w:tabs>
        <w:autoSpaceDE w:val="0"/>
        <w:autoSpaceDN w:val="0"/>
        <w:spacing w:before="12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ФОРМИРОВАНИЯ РЕЕСТРА ПЕРЕВОДОВ </w:t>
      </w:r>
    </w:p>
    <w:p w:rsidR="003C7445" w:rsidRPr="003C7445" w:rsidRDefault="003C7445" w:rsidP="003C7445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Информация о Переводах денежных сре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ользу Клиента оформляется Банком в виде Реестров переводов, содержащих все успешно принятые и перечисленные Переводы за отчетный день. </w:t>
      </w:r>
    </w:p>
    <w:p w:rsidR="003C7445" w:rsidRPr="003C7445" w:rsidRDefault="003C7445" w:rsidP="003C7445">
      <w:pPr>
        <w:tabs>
          <w:tab w:val="left" w:pos="567"/>
        </w:tabs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случаях, предусмотренных статьей 7.2. Федерального закона N 115-ФЗ «О противодействии легализации (отмыванию) доходов, полученных преступным путем, и финансированию терроризма», Банк перечисляет сумму Перевода с указанием информации, идентифицирующей физическое лицо.</w:t>
      </w:r>
    </w:p>
    <w:p w:rsidR="003C7445" w:rsidRPr="003C7445" w:rsidRDefault="003C7445" w:rsidP="003C7445">
      <w:pPr>
        <w:tabs>
          <w:tab w:val="left" w:pos="567"/>
        </w:tabs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КОНФИДЕНЦИАЛЬНОСТЬ</w:t>
      </w:r>
    </w:p>
    <w:p w:rsidR="003C7445" w:rsidRPr="003C7445" w:rsidRDefault="003C7445" w:rsidP="003C7445">
      <w:pPr>
        <w:numPr>
          <w:ilvl w:val="1"/>
          <w:numId w:val="2"/>
        </w:numPr>
        <w:tabs>
          <w:tab w:val="left" w:pos="0"/>
          <w:tab w:val="left" w:pos="1134"/>
        </w:tabs>
        <w:autoSpaceDN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взаимному согласию Сторон в рамках Соглашения конфиденциальной признается любая информация, касающаяся предмета и содержания Соглашения, хода его исполнения и полученных результатов, а также информация о Плательщиках/Абонентах и работниках Сторон. Каждая из Сторон обеспечивает защиту конфиденциальной информации, ставшей доступной ей в рамках Соглашения, от несанкционированного использования, распространения или публикации. Такая информация не будет передаваться третьим лицам без письменного разрешения другой Стороны, и использоваться в иных целях, кроме, выполнения обязательств по Соглашению.</w:t>
      </w:r>
    </w:p>
    <w:p w:rsidR="003C7445" w:rsidRPr="003C7445" w:rsidRDefault="003C7445" w:rsidP="003C7445">
      <w:pPr>
        <w:numPr>
          <w:ilvl w:val="1"/>
          <w:numId w:val="2"/>
        </w:numPr>
        <w:tabs>
          <w:tab w:val="left" w:pos="0"/>
          <w:tab w:val="left" w:pos="993"/>
        </w:tabs>
        <w:autoSpaceDN w:val="0"/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3C7445" w:rsidRPr="003C7445" w:rsidRDefault="003C7445" w:rsidP="003C7445">
      <w:pPr>
        <w:numPr>
          <w:ilvl w:val="1"/>
          <w:numId w:val="2"/>
        </w:numPr>
        <w:tabs>
          <w:tab w:val="left" w:pos="1134"/>
        </w:tabs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Стороны обязуются обрабатывать персональные данные физических лиц, передаваемые одной Стороной и получаемые другой Стороной, в соответствии с требованиями Федерального закона №152-ФЗ «О персональных данных», в том числе – обеспечить конфиденциальность и безопасность персональных данных при их обработке. </w:t>
      </w:r>
    </w:p>
    <w:p w:rsidR="003C7445" w:rsidRPr="003C7445" w:rsidRDefault="003C7445" w:rsidP="003C7445">
      <w:pPr>
        <w:numPr>
          <w:ilvl w:val="1"/>
          <w:numId w:val="2"/>
        </w:numPr>
        <w:tabs>
          <w:tab w:val="left" w:pos="0"/>
          <w:tab w:val="left" w:pos="1134"/>
        </w:tabs>
        <w:autoSpaceDN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Calibri" w:hAnsi="Times New Roman" w:cs="Times New Roman"/>
          <w:sz w:val="24"/>
          <w:szCs w:val="24"/>
          <w:lang w:eastAsia="ru-RU"/>
        </w:rPr>
        <w:t>Не является нарушением режима конфиденциальности предоставление Сторонами информации:</w:t>
      </w:r>
    </w:p>
    <w:p w:rsidR="003C7445" w:rsidRPr="003C7445" w:rsidRDefault="003C7445" w:rsidP="003C7445">
      <w:pPr>
        <w:numPr>
          <w:ilvl w:val="1"/>
          <w:numId w:val="1"/>
        </w:numPr>
        <w:tabs>
          <w:tab w:val="left" w:pos="0"/>
          <w:tab w:val="left" w:pos="1134"/>
        </w:tabs>
        <w:spacing w:before="24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445">
        <w:rPr>
          <w:rFonts w:ascii="Times New Roman" w:eastAsia="Calibri" w:hAnsi="Times New Roman" w:cs="Times New Roman"/>
          <w:sz w:val="24"/>
          <w:szCs w:val="24"/>
        </w:rPr>
        <w:t>По запросу уполномоченных государственных органов в соответствии с действующим законодательством Российской Федерации;</w:t>
      </w:r>
    </w:p>
    <w:p w:rsidR="003C7445" w:rsidRPr="003C7445" w:rsidRDefault="003C7445" w:rsidP="003C7445">
      <w:pPr>
        <w:numPr>
          <w:ilvl w:val="1"/>
          <w:numId w:val="1"/>
        </w:numPr>
        <w:tabs>
          <w:tab w:val="left" w:pos="0"/>
          <w:tab w:val="left" w:pos="1134"/>
        </w:tabs>
        <w:spacing w:before="24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445">
        <w:rPr>
          <w:rFonts w:ascii="Times New Roman" w:eastAsia="Calibri" w:hAnsi="Times New Roman" w:cs="Times New Roman"/>
          <w:sz w:val="24"/>
          <w:szCs w:val="24"/>
        </w:rPr>
        <w:t>Клиентам и Работникам Сторон, исключительно в части подтверждения полномочий Сторон по обработке их персональных данных;</w:t>
      </w:r>
    </w:p>
    <w:p w:rsidR="003C7445" w:rsidRPr="003C7445" w:rsidRDefault="003C7445" w:rsidP="003C7445">
      <w:pPr>
        <w:numPr>
          <w:ilvl w:val="1"/>
          <w:numId w:val="1"/>
        </w:numPr>
        <w:tabs>
          <w:tab w:val="left" w:pos="0"/>
          <w:tab w:val="left" w:pos="1134"/>
        </w:tabs>
        <w:spacing w:before="24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445">
        <w:rPr>
          <w:rFonts w:ascii="Times New Roman" w:eastAsia="Calibri" w:hAnsi="Times New Roman" w:cs="Times New Roman"/>
          <w:sz w:val="24"/>
          <w:szCs w:val="24"/>
        </w:rPr>
        <w:t>Аудиторам, исключительно в части информации о заключении Соглашения</w:t>
      </w:r>
      <w:r w:rsidRPr="003C744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C7445" w:rsidRPr="003C7445" w:rsidRDefault="003C7445" w:rsidP="003C7445">
      <w:pPr>
        <w:numPr>
          <w:ilvl w:val="1"/>
          <w:numId w:val="2"/>
        </w:numPr>
        <w:tabs>
          <w:tab w:val="left" w:pos="0"/>
          <w:tab w:val="left" w:pos="1134"/>
        </w:tabs>
        <w:autoSpaceDN w:val="0"/>
        <w:spacing w:before="240" w:after="24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 обязаны уведомлять друг друга обо всех случаях предоставления информации в рамках п. 5.4. настоящего Соглашения.</w:t>
      </w:r>
    </w:p>
    <w:p w:rsidR="003C7445" w:rsidRPr="003C7445" w:rsidRDefault="003C7445" w:rsidP="003C7445">
      <w:pPr>
        <w:tabs>
          <w:tab w:val="left" w:pos="567"/>
        </w:tabs>
        <w:overflowPunct w:val="0"/>
        <w:autoSpaceDE w:val="0"/>
        <w:autoSpaceDN w:val="0"/>
        <w:adjustRightInd w:val="0"/>
        <w:spacing w:after="240"/>
        <w:ind w:right="-34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6.1.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C7445" w:rsidRPr="003C7445" w:rsidRDefault="003C7445" w:rsidP="003C7445">
      <w:pPr>
        <w:shd w:val="clear" w:color="auto" w:fill="FFFFFF"/>
        <w:tabs>
          <w:tab w:val="left" w:pos="1134"/>
        </w:tabs>
        <w:spacing w:after="240"/>
        <w:ind w:right="5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Банк не несет ответственности за нарушение сроков зачисления (</w:t>
      </w:r>
      <w:proofErr w:type="spellStart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незачисление</w:t>
      </w:r>
      <w:proofErr w:type="spellEnd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денежных средств на счет Клиента, если нарушение сроков зачисления (</w:t>
      </w:r>
      <w:proofErr w:type="spellStart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незачисление</w:t>
      </w:r>
      <w:proofErr w:type="spellEnd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явилось результатом ошибки, допущенной Плательщиком при указании данных, необходимых для осуществления Перевода и зачисления денежных средств на счет Клиента.</w:t>
      </w:r>
    </w:p>
    <w:p w:rsidR="003C7445" w:rsidRPr="003C7445" w:rsidRDefault="003C7445" w:rsidP="003C7445">
      <w:pPr>
        <w:tabs>
          <w:tab w:val="left" w:pos="567"/>
          <w:tab w:val="left" w:pos="1134"/>
        </w:tabs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Клиент самостоятельно несет все риски, связанные с прохождением Реестров переводов по сети Интернет и с подключением его вычислительных сре</w:t>
      </w:r>
      <w:proofErr w:type="gramStart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к с</w:t>
      </w:r>
      <w:proofErr w:type="gramEnd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Интернет (в т. ч. связанные с несанкционированным доступом третьих лиц к информации Клиента, вероятностью вирусных атак из сети Интернет и т.п.).</w:t>
      </w:r>
    </w:p>
    <w:p w:rsidR="003C7445" w:rsidRPr="003C7445" w:rsidRDefault="003C7445" w:rsidP="003C7445">
      <w:pPr>
        <w:tabs>
          <w:tab w:val="left" w:pos="567"/>
          <w:tab w:val="left" w:pos="1134"/>
        </w:tabs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 Стороны освобождаются от ответственности, если неисполнение или ненадлежащее исполнение обязательств Соглашения явилось следствием обстоятельств непреодолимой силы, в том числе наводнения, пожара, землетрясения и других стихийных бедствий, техногенных катастроф, а также в случае военных действий. </w:t>
      </w:r>
    </w:p>
    <w:p w:rsidR="003C7445" w:rsidRPr="003C7445" w:rsidRDefault="003C7445" w:rsidP="003C7445">
      <w:pPr>
        <w:spacing w:before="240"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операций по Соглашению приостанавливается на время действия обстоятельств непреодолимой силы и возобновляется после прекращения их действия.</w:t>
      </w:r>
    </w:p>
    <w:p w:rsidR="003C7445" w:rsidRPr="003C7445" w:rsidRDefault="003C7445" w:rsidP="003C7445">
      <w:pPr>
        <w:tabs>
          <w:tab w:val="num" w:pos="709"/>
        </w:tabs>
        <w:autoSpaceDE w:val="0"/>
        <w:autoSpaceDN w:val="0"/>
        <w:spacing w:before="120"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В случае вступления в силу законодательных актов, постановлений и распоряжений государственных органов власти, препятствующих выполнению Сторонами обязательств </w:t>
      </w:r>
      <w:proofErr w:type="gramStart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настоящему</w:t>
      </w:r>
      <w:proofErr w:type="gramEnd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действие Соглашения прекращается.</w:t>
      </w:r>
    </w:p>
    <w:p w:rsidR="003C7445" w:rsidRPr="003C7445" w:rsidRDefault="003C7445" w:rsidP="003C7445">
      <w:pPr>
        <w:tabs>
          <w:tab w:val="num" w:pos="709"/>
        </w:tabs>
        <w:autoSpaceDE w:val="0"/>
        <w:autoSpaceDN w:val="0"/>
        <w:spacing w:before="120"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6.6. Клиент несет полную ответственность за правильность переданных им в Банк сведений о Плательщиках  в соответствии с п.3.3.4. Соглашения.</w:t>
      </w:r>
    </w:p>
    <w:p w:rsidR="003C7445" w:rsidRPr="003C7445" w:rsidRDefault="003C7445" w:rsidP="003C7445">
      <w:pPr>
        <w:tabs>
          <w:tab w:val="left" w:pos="567"/>
          <w:tab w:val="left" w:pos="1134"/>
        </w:tabs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6.7. </w:t>
      </w:r>
      <w:proofErr w:type="gramStart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 обязуется возместить Банку убытки в виде уплаченных штрафов, в связи с привлечением его к административной ответственности за нарушение Федерального закона «О персональных данных» при обработке персональных данных Плательщиков, переданных Банку Клиентом, а также в виде денежных сумм, выплаченных по решению судебных органов в связи с исками Плательщиков о возмещении убытков, понесенных ими в результате неправомерной обработки Банком их персональных</w:t>
      </w:r>
      <w:proofErr w:type="gramEnd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данных, полученных Банком от Клиента. </w:t>
      </w:r>
    </w:p>
    <w:p w:rsidR="003C7445" w:rsidRPr="003C7445" w:rsidRDefault="003C7445" w:rsidP="003C7445">
      <w:pPr>
        <w:tabs>
          <w:tab w:val="left" w:pos="567"/>
          <w:tab w:val="left" w:pos="1134"/>
        </w:tabs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СОГЛАШЕНИЯ И ПОРЯДОК ЕГО РАСТОРЖЕНИЯ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Настоящее Соглашение вступает в силу с момента его подписания обеими Сторонами и действует до </w:t>
      </w:r>
      <w:r w:rsidR="0062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декабря 2018 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включительно. 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Срок действия Соглашения пролонгируется на каждый следующий календарный год, если ни одна из Сторон не направит письменное уведомление о расторжении Соглашения не позднее, чем за 30 (тридцать) календарных дней до даты истечения срока его действия.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Любая Сторона вправе досрочно расторгнуть Соглашение в одностороннем внесудебном порядке, письменно уведомив об этом другую Сторону способом, позволяющим установить дату получения уведомления другой стороной. 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Соглашение считается расторгнутым по истечении 30 (тридцати) календарных дней со дня получения одной из сторон письменного уведомления о его расторжении.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7.5. Любые изменения и/или дополнения к Соглашению действительны при условии, если они совершены в письменной форме и подписаны надлежаще уполномоченными представителями Сторон, за исключением случаев, предусмотренных пунктом 8.4. Соглашения. </w:t>
      </w:r>
    </w:p>
    <w:p w:rsidR="003C7445" w:rsidRPr="003C7445" w:rsidRDefault="003C7445" w:rsidP="003C7445">
      <w:pPr>
        <w:tabs>
          <w:tab w:val="left" w:pos="567"/>
          <w:tab w:val="left" w:pos="1134"/>
        </w:tabs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В случае технического сбоя у Банка или Клиента, Сторона, у которой произошел технический сбой, извещает по телефону и/или электронному адресу другую Сторону в день возникновения технического сбоя.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информации приостанавливается до момента устранения технического сбоя.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Настоящим Стороны пришли к соглашению, что документы и информация, которыми Стороны будут обмениваться в рамках Соглашения, в том числе с использованием средств электронной связи, будут признаваться Сторонами в качестве доказательств наряду с иными доказательствами при рассмотрении споров, возникших между Сторонами из Соглашения или в связи с ним.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8.3. </w:t>
      </w:r>
      <w:proofErr w:type="gramStart"/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уведомления и запросы по Соглашению, за исключением случаев, когда Соглашением предусмотрен иной порядок их направления, считаются направленными надлежащим образом другой стороне Соглашения в случае направления их по адресу, указанному в разделе 9 Соглашения, по почте письмом с описью вложения и уведомлением о вручении, передачи через курьера уполномоченному лицу другой Стороны.</w:t>
      </w:r>
      <w:proofErr w:type="gramEnd"/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8.4. Об изменении адресов или других реквизитов Стороны обязуются письменно уведомить друг друга за 15 (пятнадцать) календарных дней до вступления в силу этих изменений.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8.5. Ни одна из Сторон не вправе передавать третьим лицам свои права и обязанности по Соглашению без письменного согласия другой Стороны.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8.6. Клиент не вправе использовать фирменную символику Банка (товарный знак/ логотип) в маркетинговых и рекламных материалах, созданных в рамках реализации настоящего Соглашения, без письменного согласия на то Банка.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8.7. Споры по настоящему Соглашению подлежат урегулированию в досудебном порядке путем предъявления письменных претензий. Срок рассмотрения письменных претензий – 30 (тридцать) календарных дней со дня их получения. Разногласия, не урегулированные Сторонами, разрешаются в соответствии с законодательством Российской Федерации.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8.8. Соглашение составлено в двух, имеющих равную юридическую силу, экземплярах, один - для Банка, другой - для Клиента.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8.9. Контакты сторон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8.9.1. Лица, уполномоченные Банком, на осуществление взаимодействия с Клиентом в процессе исполнения Соглашения:</w:t>
      </w:r>
    </w:p>
    <w:p w:rsidR="003C7445" w:rsidRPr="003C7445" w:rsidRDefault="003C7445" w:rsidP="003C7445">
      <w:pPr>
        <w:spacing w:after="0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Арескина Елена Валерьевна, телефон:+7-4212-59-70-42, эл. адрес </w:t>
      </w:r>
      <w:hyperlink r:id="rId8" w:history="1">
        <w:r w:rsidR="003F31D8" w:rsidRPr="00B35CD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evareskina@sberbank.ru</w:t>
        </w:r>
      </w:hyperlink>
      <w:r w:rsidR="003F31D8" w:rsidRPr="003F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445" w:rsidRPr="00626437" w:rsidRDefault="003C7445" w:rsidP="003C7445">
      <w:pPr>
        <w:spacing w:after="0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643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контактного лица Банка)</w:t>
      </w:r>
    </w:p>
    <w:p w:rsidR="003C7445" w:rsidRPr="003C7445" w:rsidRDefault="003C7445" w:rsidP="003C7445">
      <w:pPr>
        <w:spacing w:after="0"/>
        <w:ind w:right="-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Шохирева Ольга Сергеевна, телефон:+7-4212-59-70-03, эл. адрес </w:t>
      </w:r>
      <w:hyperlink r:id="rId9" w:history="1">
        <w:r w:rsidR="003F31D8" w:rsidRPr="00B35CDE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osshokhireva@sberbank.ru</w:t>
        </w:r>
      </w:hyperlink>
      <w:r w:rsidR="003F31D8" w:rsidRPr="003F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445" w:rsidRPr="003C7445" w:rsidRDefault="003C7445" w:rsidP="003C7445">
      <w:pPr>
        <w:spacing w:after="0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6437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контактного лица  Банка)</w:t>
      </w:r>
    </w:p>
    <w:p w:rsidR="003C7445" w:rsidRPr="003C7445" w:rsidRDefault="003C7445" w:rsidP="003C7445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8.9.2. Лица, уполномоченные Клиентом, на осуществление взаимодействия с Банком в процессе исполнения Соглашения:</w:t>
      </w:r>
    </w:p>
    <w:p w:rsidR="003C7445" w:rsidRPr="00897240" w:rsidRDefault="00897240" w:rsidP="003C74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7240">
        <w:rPr>
          <w:rFonts w:ascii="Times New Roman" w:hAnsi="Times New Roman" w:cs="Times New Roman"/>
          <w:color w:val="000000"/>
          <w:sz w:val="24"/>
          <w:szCs w:val="24"/>
        </w:rPr>
        <w:t>Пилипчук</w:t>
      </w:r>
      <w:proofErr w:type="spellEnd"/>
      <w:r w:rsidRPr="00897240">
        <w:rPr>
          <w:rFonts w:ascii="Times New Roman" w:hAnsi="Times New Roman" w:cs="Times New Roman"/>
          <w:color w:val="000000"/>
          <w:sz w:val="24"/>
          <w:szCs w:val="24"/>
        </w:rPr>
        <w:t xml:space="preserve"> Руслан Николаевич</w:t>
      </w:r>
      <w:r w:rsidR="00781B0C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Pr="00897240">
        <w:rPr>
          <w:rFonts w:ascii="Times New Roman" w:hAnsi="Times New Roman" w:cs="Times New Roman"/>
          <w:color w:val="000000"/>
          <w:sz w:val="24"/>
          <w:szCs w:val="24"/>
        </w:rPr>
        <w:t>+7(924)220-25-00</w:t>
      </w:r>
      <w:r w:rsidR="00781B0C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эл. адрес </w:t>
      </w:r>
      <w:hyperlink r:id="rId10" w:history="1">
        <w:r w:rsidRPr="00C35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zsk</w:t>
        </w:r>
        <w:r w:rsidRPr="00C35864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Pr="00C35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lamanche</w:t>
        </w:r>
        <w:r w:rsidRPr="00C35864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C35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3586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C3586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4C9" w:rsidRPr="00897240">
        <w:rPr>
          <w:rFonts w:ascii="Times New Roman" w:hAnsi="Times New Roman" w:cs="Times New Roman"/>
          <w:sz w:val="24"/>
          <w:szCs w:val="24"/>
        </w:rPr>
        <w:t xml:space="preserve"> </w:t>
      </w:r>
      <w:r w:rsidR="00781B0C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9C1" w:rsidRPr="00897240">
        <w:rPr>
          <w:rFonts w:ascii="Times New Roman" w:hAnsi="Times New Roman" w:cs="Times New Roman"/>
          <w:sz w:val="24"/>
          <w:szCs w:val="24"/>
        </w:rPr>
        <w:t xml:space="preserve"> </w:t>
      </w:r>
      <w:r w:rsidR="00626437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445" w:rsidRPr="003C7445" w:rsidRDefault="003C7445" w:rsidP="003C7445">
      <w:pPr>
        <w:tabs>
          <w:tab w:val="num" w:pos="709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7445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контактного лица Клиента)</w:t>
      </w:r>
    </w:p>
    <w:p w:rsidR="003C7445" w:rsidRPr="003C7445" w:rsidRDefault="003C7445" w:rsidP="003C7445">
      <w:pPr>
        <w:tabs>
          <w:tab w:val="left" w:pos="1134"/>
        </w:tabs>
        <w:spacing w:before="240" w:after="24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8.10.</w:t>
      </w:r>
      <w:r w:rsidRPr="003C74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настоящему Соглашению прилагается:</w:t>
      </w:r>
    </w:p>
    <w:p w:rsidR="003C7445" w:rsidRPr="003C7445" w:rsidRDefault="003C7445" w:rsidP="003C7445">
      <w:pPr>
        <w:numPr>
          <w:ilvl w:val="0"/>
          <w:numId w:val="3"/>
        </w:num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Формат Реестра переводов</w:t>
      </w:r>
    </w:p>
    <w:p w:rsidR="003C7445" w:rsidRPr="003C7445" w:rsidRDefault="003C7445" w:rsidP="003C7445">
      <w:pPr>
        <w:numPr>
          <w:ilvl w:val="0"/>
          <w:numId w:val="3"/>
        </w:num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Формат Реестра начислений</w:t>
      </w:r>
    </w:p>
    <w:p w:rsidR="003C7445" w:rsidRPr="003C7445" w:rsidRDefault="003C7445" w:rsidP="003C7445">
      <w:pPr>
        <w:numPr>
          <w:ilvl w:val="0"/>
          <w:numId w:val="3"/>
        </w:numPr>
        <w:spacing w:after="0" w:line="240" w:lineRule="auto"/>
        <w:ind w:right="-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Формат и структура </w:t>
      </w:r>
      <w:proofErr w:type="gramStart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двумерного</w:t>
      </w:r>
      <w:proofErr w:type="gramEnd"/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штрих-кода</w:t>
      </w:r>
    </w:p>
    <w:p w:rsidR="003C7445" w:rsidRPr="003C7445" w:rsidRDefault="003C7445" w:rsidP="003C7445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45" w:rsidRPr="003C7445" w:rsidRDefault="003C7445" w:rsidP="003C7445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АДРЕСА И РЕКВИЗИТЫ СТОРОН </w:t>
      </w:r>
    </w:p>
    <w:p w:rsidR="003C7445" w:rsidRPr="00C30B2E" w:rsidRDefault="003C7445" w:rsidP="003C7445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B2E">
        <w:rPr>
          <w:rFonts w:ascii="Times New Roman" w:hAnsi="Times New Roman" w:cs="Times New Roman"/>
          <w:b/>
          <w:bCs/>
          <w:sz w:val="24"/>
          <w:szCs w:val="24"/>
        </w:rPr>
        <w:t>БАНК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30B2E">
        <w:rPr>
          <w:rFonts w:ascii="Times New Roman" w:hAnsi="Times New Roman" w:cs="Times New Roman"/>
          <w:sz w:val="24"/>
          <w:szCs w:val="24"/>
        </w:rPr>
        <w:t xml:space="preserve">ПАО Сбербанк </w:t>
      </w:r>
    </w:p>
    <w:p w:rsidR="003C7445" w:rsidRPr="00C30B2E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E">
        <w:rPr>
          <w:rFonts w:ascii="Times New Roman" w:hAnsi="Times New Roman" w:cs="Times New Roman"/>
          <w:sz w:val="24"/>
          <w:szCs w:val="24"/>
        </w:rPr>
        <w:t>Место нахождения: г. Москва</w:t>
      </w:r>
    </w:p>
    <w:p w:rsidR="003C7445" w:rsidRPr="00C30B2E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E">
        <w:rPr>
          <w:rFonts w:ascii="Times New Roman" w:hAnsi="Times New Roman" w:cs="Times New Roman"/>
          <w:sz w:val="24"/>
          <w:szCs w:val="24"/>
        </w:rPr>
        <w:t>Адрес: 117997, г. Москва, ул. Вавилова, д. 19</w:t>
      </w:r>
    </w:p>
    <w:p w:rsidR="003C7445" w:rsidRPr="00C30B2E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E">
        <w:rPr>
          <w:rFonts w:ascii="Times New Roman" w:hAnsi="Times New Roman" w:cs="Times New Roman"/>
          <w:sz w:val="24"/>
          <w:szCs w:val="24"/>
        </w:rPr>
        <w:t>Почтовый адрес: 680011, г. Хабаровск, ул. Гамарника, д. 12</w:t>
      </w:r>
    </w:p>
    <w:p w:rsidR="003C7445" w:rsidRPr="00C30B2E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E">
        <w:rPr>
          <w:rFonts w:ascii="Times New Roman" w:hAnsi="Times New Roman" w:cs="Times New Roman"/>
          <w:sz w:val="24"/>
          <w:szCs w:val="24"/>
        </w:rPr>
        <w:t>Дальневосточный Банка  ПАО Сбербанк</w:t>
      </w:r>
    </w:p>
    <w:p w:rsidR="003C7445" w:rsidRPr="00C30B2E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B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0B2E">
        <w:rPr>
          <w:rFonts w:ascii="Times New Roman" w:hAnsi="Times New Roman" w:cs="Times New Roman"/>
          <w:sz w:val="24"/>
          <w:szCs w:val="24"/>
        </w:rPr>
        <w:t>/ счет 30101810600000000608</w:t>
      </w:r>
    </w:p>
    <w:p w:rsidR="003C7445" w:rsidRPr="00C30B2E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E">
        <w:rPr>
          <w:rFonts w:ascii="Times New Roman" w:hAnsi="Times New Roman" w:cs="Times New Roman"/>
          <w:sz w:val="24"/>
          <w:szCs w:val="24"/>
        </w:rPr>
        <w:t>БИК 040813608</w:t>
      </w:r>
    </w:p>
    <w:p w:rsidR="003C7445" w:rsidRPr="00C30B2E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E">
        <w:rPr>
          <w:rFonts w:ascii="Times New Roman" w:hAnsi="Times New Roman" w:cs="Times New Roman"/>
          <w:sz w:val="24"/>
          <w:szCs w:val="24"/>
        </w:rPr>
        <w:t>ИНН 7707083893 КПП 272202001</w:t>
      </w:r>
    </w:p>
    <w:p w:rsidR="003C7445" w:rsidRPr="00C30B2E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2E">
        <w:rPr>
          <w:rFonts w:ascii="Times New Roman" w:hAnsi="Times New Roman" w:cs="Times New Roman"/>
          <w:sz w:val="24"/>
          <w:szCs w:val="24"/>
        </w:rPr>
        <w:t xml:space="preserve">Телефон: 8 (4212) 59-70-42                             </w:t>
      </w:r>
    </w:p>
    <w:p w:rsidR="003C7445" w:rsidRPr="00D13BE4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E4">
        <w:rPr>
          <w:rFonts w:ascii="Times New Roman" w:hAnsi="Times New Roman" w:cs="Times New Roman"/>
          <w:sz w:val="24"/>
          <w:szCs w:val="24"/>
        </w:rPr>
        <w:t>Начальник отдела платежных сервисов</w:t>
      </w:r>
    </w:p>
    <w:p w:rsidR="003C7445" w:rsidRPr="00D13BE4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BE4">
        <w:rPr>
          <w:rFonts w:ascii="Times New Roman" w:hAnsi="Times New Roman" w:cs="Times New Roman"/>
          <w:sz w:val="24"/>
          <w:szCs w:val="24"/>
        </w:rPr>
        <w:t xml:space="preserve">ГО по ХК </w:t>
      </w:r>
    </w:p>
    <w:p w:rsidR="003C7445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375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3BE4">
        <w:rPr>
          <w:rFonts w:ascii="Times New Roman" w:hAnsi="Times New Roman" w:cs="Times New Roman"/>
          <w:sz w:val="24"/>
          <w:szCs w:val="24"/>
        </w:rPr>
        <w:t>________________ Д. С. Макашин</w:t>
      </w:r>
    </w:p>
    <w:p w:rsidR="003C7445" w:rsidRPr="00D13BE4" w:rsidRDefault="003C7445" w:rsidP="003C7445">
      <w:pPr>
        <w:spacing w:after="0" w:line="240" w:lineRule="auto"/>
        <w:ind w:right="-1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45" w:rsidRPr="00CC1259" w:rsidRDefault="003C7445" w:rsidP="003C7445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“___”_____________2018                   </w:t>
      </w:r>
      <w:r w:rsidRPr="00D13BE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B2E">
        <w:rPr>
          <w:rFonts w:ascii="Times New Roman" w:hAnsi="Times New Roman" w:cs="Times New Roman"/>
          <w:sz w:val="24"/>
          <w:szCs w:val="24"/>
        </w:rPr>
        <w:t xml:space="preserve">         М.</w:t>
      </w:r>
      <w:proofErr w:type="gramStart"/>
      <w:r w:rsidRPr="00C30B2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C7445" w:rsidRPr="003C7445" w:rsidRDefault="003C7445" w:rsidP="003C7445">
      <w:pPr>
        <w:spacing w:after="0" w:line="240" w:lineRule="auto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45" w:rsidRPr="003C7445" w:rsidRDefault="003C7445" w:rsidP="003C744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КЛИЕНТ </w:t>
      </w:r>
    </w:p>
    <w:p w:rsidR="00781B0C" w:rsidRPr="00781B0C" w:rsidRDefault="00781B0C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лица:</w:t>
      </w:r>
      <w:r w:rsidR="00BB14C9" w:rsidRPr="00BB14C9">
        <w:t xml:space="preserve"> 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ЖСК "Ла-Манш"</w:t>
      </w:r>
    </w:p>
    <w:p w:rsidR="00781B0C" w:rsidRPr="00781B0C" w:rsidRDefault="00781B0C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680035, г. Хабаровск, ул. Бондаря 8</w:t>
      </w:r>
    </w:p>
    <w:p w:rsidR="00781B0C" w:rsidRDefault="00781B0C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счет  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407 038 106 700 000 041 10</w:t>
      </w:r>
    </w:p>
    <w:p w:rsidR="00781B0C" w:rsidRPr="00781B0C" w:rsidRDefault="00781B0C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 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301 018 106 000 000 006 08</w:t>
      </w:r>
    </w:p>
    <w:p w:rsidR="00781B0C" w:rsidRDefault="00781B0C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  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040 813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608</w:t>
      </w:r>
    </w:p>
    <w:p w:rsidR="00897240" w:rsidRDefault="00897240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 </w:t>
      </w:r>
      <w:r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272501001</w:t>
      </w:r>
    </w:p>
    <w:p w:rsidR="00781B0C" w:rsidRPr="00781B0C" w:rsidRDefault="00781B0C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</w:t>
      </w:r>
      <w:r w:rsidR="00897240"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2725123250</w:t>
      </w:r>
    </w:p>
    <w:p w:rsidR="00781B0C" w:rsidRPr="00781B0C" w:rsidRDefault="00781B0C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897240" w:rsidRPr="00897240">
        <w:rPr>
          <w:rFonts w:ascii="Times New Roman" w:hAnsi="Times New Roman" w:cs="Times New Roman"/>
          <w:color w:val="000000"/>
          <w:sz w:val="24"/>
          <w:szCs w:val="24"/>
        </w:rPr>
        <w:t>+7(924)220-25-00</w:t>
      </w:r>
    </w:p>
    <w:p w:rsidR="00781B0C" w:rsidRPr="00781B0C" w:rsidRDefault="00CA6B7A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="00781B0C"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3759C" w:rsidRDefault="00BB14C9" w:rsidP="00781B0C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81B0C" w:rsidRPr="0078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81B0C" w:rsidRPr="00BB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1B0C" w:rsidRPr="00BB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9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Пилипчук</w:t>
      </w:r>
      <w:proofErr w:type="spellEnd"/>
      <w:r w:rsidR="003C7445"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3759C" w:rsidRDefault="0033759C" w:rsidP="003C7445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445" w:rsidRPr="003C7445" w:rsidRDefault="0033759C" w:rsidP="003C7445">
      <w:pPr>
        <w:spacing w:after="0"/>
        <w:ind w:right="-1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“___”_____________2018                   </w:t>
      </w:r>
      <w:r w:rsidRPr="00D13BE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0B2E">
        <w:rPr>
          <w:rFonts w:ascii="Times New Roman" w:hAnsi="Times New Roman" w:cs="Times New Roman"/>
          <w:sz w:val="24"/>
          <w:szCs w:val="24"/>
        </w:rPr>
        <w:t xml:space="preserve">         М.</w:t>
      </w:r>
      <w:proofErr w:type="gramStart"/>
      <w:r w:rsidRPr="00C30B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C7445"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3C7445" w:rsidRPr="003C7445" w:rsidRDefault="003C7445" w:rsidP="003C7445">
      <w:pPr>
        <w:spacing w:after="0"/>
        <w:ind w:right="-1"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7445" w:rsidRPr="003C7445" w:rsidSect="00781B0C">
          <w:footerReference w:type="default" r:id="rId11"/>
          <w:footerReference w:type="first" r:id="rId12"/>
          <w:pgSz w:w="11907" w:h="16840" w:code="9"/>
          <w:pgMar w:top="426" w:right="567" w:bottom="993" w:left="1418" w:header="709" w:footer="590" w:gutter="0"/>
          <w:cols w:space="709"/>
          <w:titlePg/>
          <w:docGrid w:linePitch="326"/>
        </w:sectPr>
      </w:pPr>
    </w:p>
    <w:p w:rsidR="003C7445" w:rsidRPr="003C7445" w:rsidRDefault="003C7445" w:rsidP="003C7445">
      <w:pPr>
        <w:spacing w:after="0"/>
        <w:ind w:right="-1"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3C7445" w:rsidRPr="003C7445" w:rsidRDefault="003C7445" w:rsidP="003C744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74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 Соглашению №__ </w:t>
      </w:r>
      <w:r w:rsidRPr="003C744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информационно-технологическом взаимодействии</w:t>
      </w:r>
    </w:p>
    <w:p w:rsidR="003C7445" w:rsidRPr="003C7445" w:rsidRDefault="003C7445" w:rsidP="003C744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 операциям перевода денежных средств физических лиц</w:t>
      </w:r>
    </w:p>
    <w:p w:rsidR="003C7445" w:rsidRPr="003C7445" w:rsidRDefault="003C7445" w:rsidP="003C744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от «    »                  20__ г.</w:t>
      </w:r>
    </w:p>
    <w:p w:rsidR="003C7445" w:rsidRPr="003C7445" w:rsidRDefault="003C7445" w:rsidP="003C7445">
      <w:pPr>
        <w:spacing w:after="240"/>
        <w:ind w:right="-1"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445" w:rsidRDefault="003C7445" w:rsidP="003C7445">
      <w:pPr>
        <w:spacing w:after="240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И СТРУКТУРА РЕЕСТРА ПЕРЕВОДОВ </w:t>
      </w:r>
    </w:p>
    <w:p w:rsidR="00015727" w:rsidRDefault="00BB14C9" w:rsidP="003C7445">
      <w:pPr>
        <w:spacing w:after="240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 10</w:t>
      </w:r>
      <w:r w:rsidR="00781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_2</w:t>
      </w:r>
    </w:p>
    <w:p w:rsidR="00BB14C9" w:rsidRDefault="00BB14C9" w:rsidP="003C7445">
      <w:pPr>
        <w:spacing w:after="240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4C9">
        <w:rPr>
          <w:noProof/>
          <w:lang w:eastAsia="ru-RU"/>
        </w:rPr>
        <w:drawing>
          <wp:inline distT="0" distB="0" distL="0" distR="0">
            <wp:extent cx="5941356" cy="31623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C9" w:rsidRDefault="00BB14C9" w:rsidP="003C7445">
      <w:pPr>
        <w:spacing w:after="240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4C9">
        <w:rPr>
          <w:noProof/>
          <w:lang w:eastAsia="ru-RU"/>
        </w:rPr>
        <w:drawing>
          <wp:inline distT="0" distB="0" distL="0" distR="0">
            <wp:extent cx="5940425" cy="349096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C9" w:rsidRDefault="00BB14C9" w:rsidP="003C7445">
      <w:pPr>
        <w:spacing w:after="240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4C9" w:rsidRPr="003C7445" w:rsidRDefault="00BB14C9" w:rsidP="003C7445">
      <w:pPr>
        <w:spacing w:after="240"/>
        <w:ind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445" w:rsidRPr="003C7445" w:rsidRDefault="003C7445" w:rsidP="003C7445">
      <w:pPr>
        <w:autoSpaceDE w:val="0"/>
        <w:autoSpaceDN w:val="0"/>
        <w:spacing w:after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p w:rsidR="003C7445" w:rsidRPr="003C7445" w:rsidRDefault="003C7445" w:rsidP="003C744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к Соглашению №__ </w:t>
      </w:r>
      <w:r w:rsidRPr="003C744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информационно-технологическом взаимодействии</w:t>
      </w:r>
    </w:p>
    <w:p w:rsidR="003C7445" w:rsidRPr="003C7445" w:rsidRDefault="003C7445" w:rsidP="003C744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по операциям перевода денежных средств физических лиц</w:t>
      </w:r>
    </w:p>
    <w:p w:rsidR="003C7445" w:rsidRPr="003C7445" w:rsidRDefault="003C7445" w:rsidP="003C7445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от «    »                  20__ г.</w:t>
      </w:r>
    </w:p>
    <w:p w:rsidR="003C7445" w:rsidRPr="003C7445" w:rsidRDefault="003C7445" w:rsidP="003C7445">
      <w:pPr>
        <w:spacing w:after="240"/>
        <w:ind w:left="3540"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445" w:rsidRDefault="003C7445" w:rsidP="003C7445">
      <w:pPr>
        <w:spacing w:after="240"/>
        <w:ind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и структура Реестра начислений</w:t>
      </w:r>
      <w:r w:rsidR="00BB1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B0C" w:rsidRDefault="00BB14C9" w:rsidP="003C7445">
      <w:pPr>
        <w:spacing w:after="240"/>
        <w:ind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Шаблон 10</w:t>
      </w:r>
      <w:r w:rsidR="00781B0C" w:rsidRPr="00781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_2</w:t>
      </w:r>
    </w:p>
    <w:p w:rsidR="00781B0C" w:rsidRDefault="00BB14C9" w:rsidP="003C7445">
      <w:pPr>
        <w:spacing w:after="240"/>
        <w:ind w:right="-186"/>
        <w:jc w:val="center"/>
        <w:rPr>
          <w:noProof/>
          <w:lang w:eastAsia="ru-RU"/>
        </w:rPr>
      </w:pPr>
      <w:r w:rsidRPr="00BB14C9">
        <w:rPr>
          <w:noProof/>
          <w:lang w:eastAsia="ru-RU"/>
        </w:rPr>
        <w:drawing>
          <wp:inline distT="0" distB="0" distL="0" distR="0">
            <wp:extent cx="5940425" cy="301162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BB14C9" w:rsidRDefault="00BB14C9" w:rsidP="003C7445">
      <w:pPr>
        <w:spacing w:after="240"/>
        <w:ind w:right="-186"/>
        <w:jc w:val="center"/>
        <w:rPr>
          <w:noProof/>
          <w:lang w:eastAsia="ru-RU"/>
        </w:rPr>
      </w:pPr>
    </w:p>
    <w:p w:rsidR="00781B0C" w:rsidRDefault="00781B0C" w:rsidP="003C7445">
      <w:pPr>
        <w:spacing w:after="240"/>
        <w:ind w:right="-186"/>
        <w:jc w:val="center"/>
        <w:rPr>
          <w:noProof/>
          <w:lang w:eastAsia="ru-RU"/>
        </w:rPr>
      </w:pPr>
    </w:p>
    <w:p w:rsidR="003C7445" w:rsidRPr="003C7445" w:rsidRDefault="003C7445" w:rsidP="003C7445">
      <w:pPr>
        <w:spacing w:after="0"/>
        <w:ind w:right="-186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Приложение №3</w:t>
      </w:r>
    </w:p>
    <w:p w:rsidR="003C7445" w:rsidRPr="003C7445" w:rsidRDefault="003C7445" w:rsidP="003C7445">
      <w:pPr>
        <w:autoSpaceDE w:val="0"/>
        <w:autoSpaceDN w:val="0"/>
        <w:spacing w:after="0"/>
        <w:ind w:firstLine="709"/>
        <w:jc w:val="right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3C7445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>к Соглашению №__ об информационно-технологическом взаимодействии</w:t>
      </w:r>
    </w:p>
    <w:p w:rsidR="003C7445" w:rsidRPr="003C7445" w:rsidRDefault="003C7445" w:rsidP="003C7445">
      <w:pPr>
        <w:autoSpaceDE w:val="0"/>
        <w:autoSpaceDN w:val="0"/>
        <w:spacing w:after="0"/>
        <w:ind w:firstLine="709"/>
        <w:jc w:val="right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3C7445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 xml:space="preserve"> по операциям перевода денежных средств физических лиц</w:t>
      </w:r>
    </w:p>
    <w:p w:rsidR="003C7445" w:rsidRPr="003C7445" w:rsidRDefault="003C7445" w:rsidP="003C7445">
      <w:pPr>
        <w:autoSpaceDE w:val="0"/>
        <w:autoSpaceDN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 xml:space="preserve"> от «    »                  20__ г.</w:t>
      </w:r>
    </w:p>
    <w:p w:rsidR="003C7445" w:rsidRPr="003C7445" w:rsidRDefault="003C7445" w:rsidP="003C7445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Формат и структура </w:t>
      </w:r>
      <w:proofErr w:type="gramStart"/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двумерного</w:t>
      </w:r>
      <w:proofErr w:type="gramEnd"/>
      <w:r w:rsidRPr="003C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штрих-кода</w:t>
      </w:r>
    </w:p>
    <w:p w:rsidR="003C7445" w:rsidRPr="003C7445" w:rsidRDefault="003C7445" w:rsidP="003C7445">
      <w:pPr>
        <w:autoSpaceDE w:val="0"/>
        <w:autoSpaceDN w:val="0"/>
        <w:spacing w:after="0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7445" w:rsidRPr="003C7445" w:rsidRDefault="003C7445" w:rsidP="003C7445">
      <w:pPr>
        <w:tabs>
          <w:tab w:val="left" w:pos="426"/>
        </w:tabs>
        <w:autoSpaceDE w:val="0"/>
        <w:autoSpaceDN w:val="0"/>
        <w:spacing w:after="24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Двумерный штрих-код формируется Клиентом в соответствии с ГОСТ 56042-2014</w:t>
      </w:r>
      <w:r w:rsidRPr="003C74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445" w:rsidRPr="003C7445" w:rsidRDefault="003C7445" w:rsidP="003C7445">
      <w:pPr>
        <w:tabs>
          <w:tab w:val="left" w:pos="426"/>
        </w:tabs>
        <w:autoSpaceDN w:val="0"/>
        <w:spacing w:after="240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Перечень обязательных реквизитов приведен в таблице: </w:t>
      </w:r>
    </w:p>
    <w:tbl>
      <w:tblPr>
        <w:tblW w:w="10064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1170"/>
        <w:gridCol w:w="320"/>
        <w:gridCol w:w="1502"/>
        <w:gridCol w:w="320"/>
        <w:gridCol w:w="3689"/>
        <w:gridCol w:w="320"/>
        <w:gridCol w:w="2423"/>
        <w:gridCol w:w="320"/>
      </w:tblGrid>
      <w:tr w:rsidR="003C7445" w:rsidRPr="003C7445" w:rsidTr="00077B58">
        <w:trPr>
          <w:trHeight w:val="258"/>
          <w:jc w:val="center"/>
        </w:trPr>
        <w:tc>
          <w:tcPr>
            <w:tcW w:w="14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C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2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4BACC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400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4BACC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параметра</w:t>
            </w:r>
          </w:p>
        </w:tc>
        <w:tc>
          <w:tcPr>
            <w:tcW w:w="2743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hanging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CodeVersion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стандарта </w:t>
            </w: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штрихкода</w:t>
            </w:r>
            <w:proofErr w:type="spellEnd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(начинается с 1 и т.д.)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 0001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CodePage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кодировки текста:</w:t>
            </w:r>
          </w:p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WIN1251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6259C1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перевода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897240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 "Ла-Манш"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PersonalAcc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получателя перевода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897240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407 038 106 700 000 041 10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BankName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 перевода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897240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"Сбербанк России"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BIC</w:t>
            </w:r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897240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040 813 608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CorrespAcc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банка получателя перевода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897240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301 018 106 000 000 006 08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PayeeINN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получателя перевода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897240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2725123250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Category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платежа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6259C1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 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PersAcc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лицевого счета плательщика в организации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01020304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LastName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плательщика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FirstName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плательщика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MiddleName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плательщика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PayerAddress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плательщика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г. Ставрополь, ул. Ленина, 361</w:t>
            </w:r>
          </w:p>
        </w:tc>
      </w:tr>
      <w:tr w:rsidR="003C7445" w:rsidRPr="003C7445" w:rsidTr="00077B58">
        <w:trPr>
          <w:gridAfter w:val="1"/>
          <w:wAfter w:w="320" w:type="dxa"/>
          <w:trHeight w:val="91"/>
          <w:jc w:val="center"/>
        </w:trPr>
        <w:tc>
          <w:tcPr>
            <w:tcW w:w="11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445" w:rsidRPr="003C7445" w:rsidRDefault="003C7445" w:rsidP="003C7445">
            <w:pPr>
              <w:numPr>
                <w:ilvl w:val="0"/>
                <w:numId w:val="4"/>
              </w:numPr>
              <w:spacing w:after="0" w:line="240" w:lineRule="auto"/>
              <w:ind w:left="34" w:hanging="7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платежа, в копейках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445" w:rsidRPr="003C7445" w:rsidRDefault="003C7445" w:rsidP="003C7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174924</w:t>
            </w:r>
          </w:p>
        </w:tc>
      </w:tr>
    </w:tbl>
    <w:p w:rsidR="003C7445" w:rsidRPr="003C7445" w:rsidRDefault="003C7445" w:rsidP="003C7445">
      <w:pPr>
        <w:widowControl w:val="0"/>
        <w:spacing w:after="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DC4CD3" w:rsidRDefault="00DC4CD3">
      <w:bookmarkStart w:id="0" w:name="_GoBack"/>
      <w:bookmarkEnd w:id="0"/>
    </w:p>
    <w:sectPr w:rsidR="00DC4CD3" w:rsidSect="003C74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E6" w:rsidRDefault="002F04E6" w:rsidP="003C7445">
      <w:pPr>
        <w:spacing w:after="0" w:line="240" w:lineRule="auto"/>
      </w:pPr>
      <w:r>
        <w:separator/>
      </w:r>
    </w:p>
  </w:endnote>
  <w:endnote w:type="continuationSeparator" w:id="0">
    <w:p w:rsidR="002F04E6" w:rsidRDefault="002F04E6" w:rsidP="003C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13" w:rsidRDefault="00F63113">
    <w:pPr>
      <w:pStyle w:val="ac"/>
    </w:pPr>
    <w:r>
      <w:t>Банк _________________                                                                      Клиент 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13" w:rsidRDefault="00F63113">
    <w:pPr>
      <w:pStyle w:val="ac"/>
    </w:pPr>
    <w:r>
      <w:t>Банк ________________                                                                            Клиент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E6" w:rsidRDefault="002F04E6" w:rsidP="003C7445">
      <w:pPr>
        <w:spacing w:after="0" w:line="240" w:lineRule="auto"/>
      </w:pPr>
      <w:r>
        <w:separator/>
      </w:r>
    </w:p>
  </w:footnote>
  <w:footnote w:type="continuationSeparator" w:id="0">
    <w:p w:rsidR="002F04E6" w:rsidRDefault="002F04E6" w:rsidP="003C7445">
      <w:pPr>
        <w:spacing w:after="0" w:line="240" w:lineRule="auto"/>
      </w:pPr>
      <w:r>
        <w:continuationSeparator/>
      </w:r>
    </w:p>
  </w:footnote>
  <w:footnote w:id="1">
    <w:p w:rsidR="003C7445" w:rsidRPr="00BD0017" w:rsidRDefault="003C7445" w:rsidP="003C7445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BD0017">
        <w:rPr>
          <w:sz w:val="18"/>
          <w:szCs w:val="18"/>
        </w:rPr>
        <w:t xml:space="preserve">Клиент самостоятельно определяет перечень полей, которые используются в ДШК. </w:t>
      </w:r>
    </w:p>
    <w:p w:rsidR="003C7445" w:rsidRDefault="003C7445" w:rsidP="003C7445">
      <w:pPr>
        <w:pStyle w:val="a3"/>
      </w:pPr>
      <w:r w:rsidRPr="00BD0017">
        <w:rPr>
          <w:sz w:val="18"/>
          <w:szCs w:val="18"/>
        </w:rPr>
        <w:t>Критериями являются: использование обязательных реквизитов и соответствие имени реквизита стандарту ДШК.</w:t>
      </w:r>
    </w:p>
    <w:p w:rsidR="003C7445" w:rsidRPr="00C54AA5" w:rsidRDefault="003C7445" w:rsidP="003C7445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3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445"/>
    <w:rsid w:val="00015727"/>
    <w:rsid w:val="00250FDE"/>
    <w:rsid w:val="002A43C7"/>
    <w:rsid w:val="002F04E6"/>
    <w:rsid w:val="0033759C"/>
    <w:rsid w:val="0035222D"/>
    <w:rsid w:val="003A1149"/>
    <w:rsid w:val="003C7445"/>
    <w:rsid w:val="003F31D8"/>
    <w:rsid w:val="004F25BB"/>
    <w:rsid w:val="006259C1"/>
    <w:rsid w:val="00626437"/>
    <w:rsid w:val="00781B0C"/>
    <w:rsid w:val="00897240"/>
    <w:rsid w:val="0098779F"/>
    <w:rsid w:val="00BB14C9"/>
    <w:rsid w:val="00CA6B7A"/>
    <w:rsid w:val="00DC4CD3"/>
    <w:rsid w:val="00ED17E4"/>
    <w:rsid w:val="00F14848"/>
    <w:rsid w:val="00F6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74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445"/>
    <w:rPr>
      <w:sz w:val="20"/>
      <w:szCs w:val="20"/>
    </w:rPr>
  </w:style>
  <w:style w:type="character" w:styleId="a5">
    <w:name w:val="footnote reference"/>
    <w:basedOn w:val="a0"/>
    <w:uiPriority w:val="99"/>
    <w:rsid w:val="003C7445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4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4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64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6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113"/>
  </w:style>
  <w:style w:type="paragraph" w:styleId="ac">
    <w:name w:val="footer"/>
    <w:basedOn w:val="a"/>
    <w:link w:val="ad"/>
    <w:uiPriority w:val="99"/>
    <w:unhideWhenUsed/>
    <w:rsid w:val="00F6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74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445"/>
    <w:rPr>
      <w:sz w:val="20"/>
      <w:szCs w:val="20"/>
    </w:rPr>
  </w:style>
  <w:style w:type="character" w:styleId="a5">
    <w:name w:val="footnote reference"/>
    <w:basedOn w:val="a0"/>
    <w:uiPriority w:val="99"/>
    <w:rsid w:val="003C7445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4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4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64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6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3113"/>
  </w:style>
  <w:style w:type="paragraph" w:styleId="ac">
    <w:name w:val="footer"/>
    <w:basedOn w:val="a"/>
    <w:link w:val="ad"/>
    <w:uiPriority w:val="99"/>
    <w:unhideWhenUsed/>
    <w:rsid w:val="00F6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reskina@sberbank.ru" TargetMode="External"/><Relationship Id="rId13" Type="http://schemas.openxmlformats.org/officeDocument/2006/relationships/image" Target="media/image2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mailto:zsk-lamanch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shokhireva@sberbank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Арескина Елена Валерьевна</dc:creator>
  <cp:lastModifiedBy>Пользователь Windows</cp:lastModifiedBy>
  <cp:revision>9</cp:revision>
  <dcterms:created xsi:type="dcterms:W3CDTF">2018-01-31T00:53:00Z</dcterms:created>
  <dcterms:modified xsi:type="dcterms:W3CDTF">2018-08-24T02:27:00Z</dcterms:modified>
</cp:coreProperties>
</file>